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8184" w14:textId="39CFB490" w:rsidR="0095416C" w:rsidRDefault="0095416C" w:rsidP="0095416C">
      <w:pPr>
        <w:rPr>
          <w:rFonts w:cstheme="minorHAnsi"/>
          <w:b/>
          <w:color w:val="006F91"/>
          <w:sz w:val="48"/>
          <w:szCs w:val="48"/>
        </w:rPr>
      </w:pPr>
      <w:r>
        <w:rPr>
          <w:rFonts w:cstheme="minorHAnsi"/>
          <w:b/>
          <w:noProof/>
          <w:color w:val="006F91"/>
          <w:sz w:val="48"/>
          <w:szCs w:val="48"/>
        </w:rPr>
        <w:drawing>
          <wp:inline distT="0" distB="0" distL="0" distR="0" wp14:anchorId="704ECACE" wp14:editId="204DD0FA">
            <wp:extent cx="1144988" cy="64115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400" cy="6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80A4" w14:textId="6EBAD3A6" w:rsidR="00DB205F" w:rsidRDefault="00DB205F" w:rsidP="00DB205F">
      <w:pPr>
        <w:jc w:val="center"/>
        <w:rPr>
          <w:rFonts w:cstheme="minorHAnsi"/>
          <w:b/>
          <w:color w:val="006F91"/>
          <w:sz w:val="48"/>
          <w:szCs w:val="48"/>
        </w:rPr>
      </w:pPr>
      <w:r w:rsidRPr="0095416C">
        <w:rPr>
          <w:rFonts w:cstheme="minorHAnsi"/>
          <w:b/>
          <w:color w:val="006F91"/>
          <w:sz w:val="48"/>
          <w:szCs w:val="48"/>
        </w:rPr>
        <w:t>INFORMATION SUR NOS HONORAIRES</w:t>
      </w:r>
    </w:p>
    <w:p w14:paraId="2B1D867E" w14:textId="0EC5AB39" w:rsidR="00BC73A5" w:rsidRPr="0095416C" w:rsidRDefault="00BC73A5" w:rsidP="00DB205F">
      <w:pPr>
        <w:jc w:val="center"/>
        <w:rPr>
          <w:rFonts w:cstheme="minorHAnsi"/>
          <w:b/>
          <w:color w:val="006F91"/>
          <w:sz w:val="48"/>
          <w:szCs w:val="48"/>
        </w:rPr>
      </w:pPr>
      <w:r>
        <w:rPr>
          <w:rFonts w:cstheme="minorHAnsi"/>
          <w:b/>
          <w:color w:val="006F91"/>
          <w:sz w:val="48"/>
          <w:szCs w:val="48"/>
        </w:rPr>
        <w:t>Au 1</w:t>
      </w:r>
      <w:r w:rsidRPr="00BC73A5">
        <w:rPr>
          <w:rFonts w:cstheme="minorHAnsi"/>
          <w:b/>
          <w:color w:val="006F91"/>
          <w:sz w:val="48"/>
          <w:szCs w:val="48"/>
          <w:vertAlign w:val="superscript"/>
        </w:rPr>
        <w:t>er</w:t>
      </w:r>
      <w:r>
        <w:rPr>
          <w:rFonts w:cstheme="minorHAnsi"/>
          <w:b/>
          <w:color w:val="006F91"/>
          <w:sz w:val="48"/>
          <w:szCs w:val="48"/>
        </w:rPr>
        <w:t xml:space="preserve"> janvier 2026</w:t>
      </w:r>
    </w:p>
    <w:p w14:paraId="67F8E300" w14:textId="77777777" w:rsidR="00DB205F" w:rsidRDefault="00DB205F" w:rsidP="00DB205F">
      <w:pPr>
        <w:jc w:val="center"/>
      </w:pPr>
      <w:r>
        <w:t>Arrêté du 30 mai 2018 relatif à l’information des personnes destinataires d’activités de prévention, de diagnostic et/ou de soins.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205F" w14:paraId="7B9F3FC2" w14:textId="77777777" w:rsidTr="00DB205F">
        <w:tc>
          <w:tcPr>
            <w:tcW w:w="3020" w:type="dxa"/>
            <w:shd w:val="clear" w:color="auto" w:fill="D0CECE" w:themeFill="background2" w:themeFillShade="E6"/>
          </w:tcPr>
          <w:p w14:paraId="52296585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ACTE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19287616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HONORAIRES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4046EA81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BASE SECURITE SOCIALE</w:t>
            </w:r>
          </w:p>
        </w:tc>
      </w:tr>
      <w:tr w:rsidR="00DB205F" w14:paraId="0CF300B7" w14:textId="77777777" w:rsidTr="00DB205F">
        <w:tc>
          <w:tcPr>
            <w:tcW w:w="3020" w:type="dxa"/>
          </w:tcPr>
          <w:p w14:paraId="275E0112" w14:textId="77777777" w:rsidR="00DB205F" w:rsidRPr="00DB205F" w:rsidRDefault="00DB205F" w:rsidP="00DB205F">
            <w:pPr>
              <w:rPr>
                <w:rFonts w:cstheme="minorHAnsi"/>
                <w:sz w:val="20"/>
                <w:szCs w:val="20"/>
              </w:rPr>
            </w:pPr>
            <w:r w:rsidRPr="00DB205F"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3021" w:type="dxa"/>
          </w:tcPr>
          <w:p w14:paraId="5C5BD24C" w14:textId="77777777" w:rsidR="00DB205F" w:rsidRPr="00DB205F" w:rsidRDefault="00DB205F" w:rsidP="00DB2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205F">
              <w:rPr>
                <w:rFonts w:cstheme="minorHAnsi"/>
                <w:sz w:val="20"/>
                <w:szCs w:val="20"/>
              </w:rPr>
              <w:t>23,00 €</w:t>
            </w:r>
          </w:p>
        </w:tc>
        <w:tc>
          <w:tcPr>
            <w:tcW w:w="3021" w:type="dxa"/>
          </w:tcPr>
          <w:p w14:paraId="499FA7BE" w14:textId="77777777" w:rsidR="00DB205F" w:rsidRPr="00DB205F" w:rsidRDefault="00DB205F" w:rsidP="00DB20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23,00 €</w:t>
            </w:r>
          </w:p>
        </w:tc>
      </w:tr>
      <w:tr w:rsidR="00DB205F" w14:paraId="03BBC0A0" w14:textId="77777777" w:rsidTr="00DB205F">
        <w:trPr>
          <w:trHeight w:val="275"/>
        </w:trPr>
        <w:tc>
          <w:tcPr>
            <w:tcW w:w="9062" w:type="dxa"/>
            <w:gridSpan w:val="3"/>
          </w:tcPr>
          <w:p w14:paraId="616F140A" w14:textId="77777777" w:rsidR="00DB205F" w:rsidRDefault="00DB205F" w:rsidP="00DB205F">
            <w:pPr>
              <w:rPr>
                <w:b/>
                <w:sz w:val="28"/>
                <w:szCs w:val="28"/>
              </w:rPr>
            </w:pPr>
          </w:p>
          <w:p w14:paraId="7D60C03C" w14:textId="77777777" w:rsidR="00DB205F" w:rsidRP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  <w:r w:rsidRPr="00DB205F">
              <w:rPr>
                <w:b/>
                <w:sz w:val="24"/>
                <w:szCs w:val="24"/>
              </w:rPr>
              <w:t>Soins conservateurs, chirurgicaux et de prévention</w:t>
            </w:r>
          </w:p>
        </w:tc>
      </w:tr>
      <w:tr w:rsidR="00DB205F" w14:paraId="64A27F04" w14:textId="77777777" w:rsidTr="00DB205F">
        <w:tc>
          <w:tcPr>
            <w:tcW w:w="3020" w:type="dxa"/>
          </w:tcPr>
          <w:p w14:paraId="54D9734B" w14:textId="37CE0E40" w:rsidR="00DB205F" w:rsidRPr="00DB205F" w:rsidRDefault="00DB205F" w:rsidP="00DB205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528F4CA" w14:textId="0BAB6655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7F43BC7A" w14:textId="4BC26496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€</w:t>
            </w:r>
          </w:p>
        </w:tc>
      </w:tr>
      <w:tr w:rsidR="00DB205F" w14:paraId="28400732" w14:textId="77777777" w:rsidTr="00DB205F">
        <w:tc>
          <w:tcPr>
            <w:tcW w:w="3020" w:type="dxa"/>
          </w:tcPr>
          <w:p w14:paraId="48EFAF78" w14:textId="77056CDC" w:rsidR="00DB205F" w:rsidRPr="00DB205F" w:rsidRDefault="00DB205F" w:rsidP="00DB205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E2B6177" w14:textId="4981700B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5146E806" w14:textId="7B99B7FD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€</w:t>
            </w:r>
          </w:p>
        </w:tc>
      </w:tr>
      <w:tr w:rsidR="00DB205F" w14:paraId="720B9CB8" w14:textId="77777777" w:rsidTr="00DB205F">
        <w:tc>
          <w:tcPr>
            <w:tcW w:w="3020" w:type="dxa"/>
          </w:tcPr>
          <w:p w14:paraId="3B60DAE9" w14:textId="262E3C4B" w:rsidR="00DB205F" w:rsidRPr="00DB205F" w:rsidRDefault="00DB205F" w:rsidP="00DB205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DBAFD01" w14:textId="05B43370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5988D977" w14:textId="53345B85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B205F" w14:paraId="0C1991D6" w14:textId="77777777" w:rsidTr="00DB205F">
        <w:tc>
          <w:tcPr>
            <w:tcW w:w="3020" w:type="dxa"/>
          </w:tcPr>
          <w:p w14:paraId="42882DAA" w14:textId="56CBD333" w:rsidR="00DB205F" w:rsidRPr="00DB205F" w:rsidRDefault="00DB205F" w:rsidP="00DB205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D4C9F1B" w14:textId="6D25F034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7F80D287" w14:textId="1AA7EBD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B205F" w14:paraId="52001653" w14:textId="77777777" w:rsidTr="00DB205F">
        <w:tc>
          <w:tcPr>
            <w:tcW w:w="3020" w:type="dxa"/>
          </w:tcPr>
          <w:p w14:paraId="4BFC7DE8" w14:textId="64723014" w:rsidR="00DB205F" w:rsidRPr="00DB205F" w:rsidRDefault="00DB205F" w:rsidP="00DB205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0770BD8" w14:textId="637CF4A6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620E19C9" w14:textId="370F4783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B205F" w14:paraId="2C04C7D0" w14:textId="77777777" w:rsidTr="00B840AD">
        <w:tc>
          <w:tcPr>
            <w:tcW w:w="9062" w:type="dxa"/>
            <w:gridSpan w:val="3"/>
          </w:tcPr>
          <w:p w14:paraId="686553FA" w14:textId="77777777" w:rsid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</w:p>
          <w:p w14:paraId="12539842" w14:textId="77777777" w:rsidR="00DB205F" w:rsidRP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  <w:r w:rsidRPr="00DB205F">
              <w:rPr>
                <w:b/>
                <w:sz w:val="24"/>
                <w:szCs w:val="24"/>
              </w:rPr>
              <w:t>Traitement prothétiques et ODF</w:t>
            </w:r>
          </w:p>
        </w:tc>
      </w:tr>
      <w:tr w:rsidR="000C3BCB" w14:paraId="642388C3" w14:textId="77777777" w:rsidTr="00DB205F">
        <w:tc>
          <w:tcPr>
            <w:tcW w:w="3020" w:type="dxa"/>
          </w:tcPr>
          <w:p w14:paraId="4E723401" w14:textId="60372D1A" w:rsidR="000C3BCB" w:rsidRPr="00BC73A5" w:rsidRDefault="000C3BCB" w:rsidP="000C3BCB"/>
        </w:tc>
        <w:tc>
          <w:tcPr>
            <w:tcW w:w="3021" w:type="dxa"/>
          </w:tcPr>
          <w:p w14:paraId="0E41E21C" w14:textId="3E009A77" w:rsidR="000C3BCB" w:rsidRPr="00BC73A5" w:rsidRDefault="000C3BCB" w:rsidP="000C3BCB">
            <w:pPr>
              <w:jc w:val="center"/>
            </w:pPr>
            <w:r w:rsidRPr="00BC73A5">
              <w:t>€</w:t>
            </w:r>
          </w:p>
        </w:tc>
        <w:tc>
          <w:tcPr>
            <w:tcW w:w="3021" w:type="dxa"/>
          </w:tcPr>
          <w:p w14:paraId="108BF430" w14:textId="7CAE13E0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</w:tr>
      <w:tr w:rsidR="000C3BCB" w14:paraId="226B8D00" w14:textId="77777777" w:rsidTr="00DB205F">
        <w:tc>
          <w:tcPr>
            <w:tcW w:w="3020" w:type="dxa"/>
          </w:tcPr>
          <w:p w14:paraId="42428AF0" w14:textId="3FCA2758" w:rsidR="000C3BCB" w:rsidRPr="00BC73A5" w:rsidRDefault="000C3BCB" w:rsidP="000C3BCB"/>
        </w:tc>
        <w:tc>
          <w:tcPr>
            <w:tcW w:w="3021" w:type="dxa"/>
          </w:tcPr>
          <w:p w14:paraId="0DD8FAD3" w14:textId="383294C8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  <w:tc>
          <w:tcPr>
            <w:tcW w:w="3021" w:type="dxa"/>
          </w:tcPr>
          <w:p w14:paraId="581B17C4" w14:textId="3D3D6E16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</w:tr>
      <w:tr w:rsidR="000C3BCB" w14:paraId="22898425" w14:textId="77777777" w:rsidTr="00DB205F">
        <w:tc>
          <w:tcPr>
            <w:tcW w:w="3020" w:type="dxa"/>
          </w:tcPr>
          <w:p w14:paraId="130D07D4" w14:textId="49544032" w:rsidR="000C3BCB" w:rsidRPr="00BC73A5" w:rsidRDefault="000C3BCB" w:rsidP="000C3BCB"/>
        </w:tc>
        <w:tc>
          <w:tcPr>
            <w:tcW w:w="3021" w:type="dxa"/>
          </w:tcPr>
          <w:p w14:paraId="75F206C9" w14:textId="0782966D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  <w:tc>
          <w:tcPr>
            <w:tcW w:w="3021" w:type="dxa"/>
          </w:tcPr>
          <w:p w14:paraId="60FB44C1" w14:textId="78B5299D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</w:tr>
      <w:tr w:rsidR="000C3BCB" w14:paraId="40947516" w14:textId="77777777" w:rsidTr="00DB205F">
        <w:tc>
          <w:tcPr>
            <w:tcW w:w="3020" w:type="dxa"/>
          </w:tcPr>
          <w:p w14:paraId="109F45BA" w14:textId="402FA737" w:rsidR="000C3BCB" w:rsidRPr="00BC73A5" w:rsidRDefault="000C3BCB" w:rsidP="000C3BCB"/>
        </w:tc>
        <w:tc>
          <w:tcPr>
            <w:tcW w:w="3021" w:type="dxa"/>
          </w:tcPr>
          <w:p w14:paraId="4942B295" w14:textId="37D177F0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  <w:tc>
          <w:tcPr>
            <w:tcW w:w="3021" w:type="dxa"/>
          </w:tcPr>
          <w:p w14:paraId="1EC9D8F2" w14:textId="590A7441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</w:tr>
      <w:tr w:rsidR="000C3BCB" w14:paraId="08946B63" w14:textId="77777777" w:rsidTr="00DB205F">
        <w:tc>
          <w:tcPr>
            <w:tcW w:w="3020" w:type="dxa"/>
          </w:tcPr>
          <w:p w14:paraId="1A5C972C" w14:textId="7F2EB5C7" w:rsidR="000C3BCB" w:rsidRPr="00BC73A5" w:rsidRDefault="000C3BCB" w:rsidP="000C3BCB"/>
        </w:tc>
        <w:tc>
          <w:tcPr>
            <w:tcW w:w="3021" w:type="dxa"/>
          </w:tcPr>
          <w:p w14:paraId="6D204614" w14:textId="79F30FB2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  <w:tc>
          <w:tcPr>
            <w:tcW w:w="3021" w:type="dxa"/>
          </w:tcPr>
          <w:p w14:paraId="0A2D57F8" w14:textId="011AC400" w:rsidR="000C3BCB" w:rsidRPr="00BC73A5" w:rsidRDefault="000C3BCB" w:rsidP="00D95D85">
            <w:pPr>
              <w:jc w:val="center"/>
            </w:pPr>
            <w:r w:rsidRPr="00BC73A5">
              <w:t>€</w:t>
            </w:r>
          </w:p>
        </w:tc>
      </w:tr>
    </w:tbl>
    <w:p w14:paraId="40E86179" w14:textId="77777777" w:rsidR="00DB205F" w:rsidRPr="00DB205F" w:rsidRDefault="00DB205F" w:rsidP="00DB205F">
      <w:pPr>
        <w:jc w:val="center"/>
      </w:pPr>
    </w:p>
    <w:p w14:paraId="2DF034C0" w14:textId="77777777" w:rsidR="00DB205F" w:rsidRDefault="000F5921">
      <w:r>
        <w:t>Votre chirurgien-dentiste pratique les honoraires conformes aux tarifs de la sécurité sociale. Ces tarifs ne peuvent être dépassés, sauf en cas d’exigence exceptionnelle de votre part concernant l’</w:t>
      </w:r>
      <w:r w:rsidR="000023A9">
        <w:t>horaire</w:t>
      </w:r>
      <w:r>
        <w:t xml:space="preserve"> ou le lieu des actes pratiqués, ou en cas de non-respect du parcours de soins.</w:t>
      </w:r>
    </w:p>
    <w:p w14:paraId="732482C3" w14:textId="77777777" w:rsidR="000F5921" w:rsidRDefault="000F5921">
      <w:r>
        <w:t>Votre chirurgien-dentiste doit obligatoirement vous informer avant de réaliser un acte non remboursé par la sécurité sociale. Une information écrite, devis, vous est remise préalablement à la réalisation de ces prestations</w:t>
      </w:r>
      <w:r w:rsidR="000023A9">
        <w:t xml:space="preserve"> conformément à la convention nationale des chirurgiens-dentistes.</w:t>
      </w:r>
    </w:p>
    <w:p w14:paraId="5AB96AF3" w14:textId="77777777" w:rsidR="003A5B69" w:rsidRDefault="003A5B69" w:rsidP="003A5B69">
      <w:r>
        <w:t>Seuls peuvent être facturés des frais correspondant à une prestation de soins rendue. Le paiement d’une prestation qui ne correspond pas directement à une prestation de soins ne peut vous être imposé.</w:t>
      </w:r>
    </w:p>
    <w:p w14:paraId="1648CCB7" w14:textId="77777777" w:rsidR="000023A9" w:rsidRDefault="000023A9" w:rsidP="003A5B69">
      <w:r>
        <w:t xml:space="preserve">Vous pouvez consulter l’annuaire santé du site internet de l’assurance maladie sur </w:t>
      </w:r>
      <w:hyperlink r:id="rId5" w:history="1">
        <w:r w:rsidRPr="0014662F">
          <w:rPr>
            <w:rStyle w:val="Lienhypertexte"/>
          </w:rPr>
          <w:t>www.ameli.fr</w:t>
        </w:r>
      </w:hyperlink>
      <w:r>
        <w:t xml:space="preserve"> pour toute information complémentaire.</w:t>
      </w:r>
    </w:p>
    <w:p w14:paraId="01E23332" w14:textId="77777777" w:rsidR="000023A9" w:rsidRDefault="000023A9" w:rsidP="003A5B69"/>
    <w:p w14:paraId="75561C07" w14:textId="77777777" w:rsidR="000023A9" w:rsidRDefault="000023A9" w:rsidP="000023A9">
      <w:pPr>
        <w:spacing w:after="0"/>
      </w:pPr>
      <w:r>
        <w:t>Chirurgien-dentiste conventionné</w:t>
      </w:r>
    </w:p>
    <w:p w14:paraId="037E3EAB" w14:textId="77777777" w:rsidR="000023A9" w:rsidRDefault="000023A9" w:rsidP="000023A9">
      <w:pPr>
        <w:spacing w:after="0"/>
      </w:pPr>
    </w:p>
    <w:p w14:paraId="4085162D" w14:textId="77777777" w:rsidR="003A5B69" w:rsidRDefault="003A5B69"/>
    <w:sectPr w:rsidR="003A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69"/>
    <w:rsid w:val="000023A9"/>
    <w:rsid w:val="000C3BCB"/>
    <w:rsid w:val="000F5921"/>
    <w:rsid w:val="003A5B69"/>
    <w:rsid w:val="0095416C"/>
    <w:rsid w:val="00A009BE"/>
    <w:rsid w:val="00B20E87"/>
    <w:rsid w:val="00BC73A5"/>
    <w:rsid w:val="00CE6E8C"/>
    <w:rsid w:val="00D77395"/>
    <w:rsid w:val="00D95D85"/>
    <w:rsid w:val="00DB205F"/>
    <w:rsid w:val="00E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5718"/>
  <w15:chartTrackingRefBased/>
  <w15:docId w15:val="{67A64404-1360-4D4F-A3E8-6167C47B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2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eli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delbos</dc:creator>
  <cp:keywords/>
  <dc:description/>
  <cp:lastModifiedBy>isabelle saleck</cp:lastModifiedBy>
  <cp:revision>3</cp:revision>
  <dcterms:created xsi:type="dcterms:W3CDTF">2026-01-09T09:32:00Z</dcterms:created>
  <dcterms:modified xsi:type="dcterms:W3CDTF">2026-01-09T13:04:00Z</dcterms:modified>
</cp:coreProperties>
</file>